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7.png" ContentType="image/png"/>
  <Override PartName="/word/media/rId31.png" ContentType="image/png"/>
  <Override PartName="/word/media/rId35.png" ContentType="image/png"/>
  <Override PartName="/word/media/rId3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 по четвертому этапу индивидуального проекта</w:t>
      </w:r>
    </w:p>
    <w:p>
      <w:pPr>
        <w:pStyle w:val="Subtitle"/>
      </w:pPr>
      <w:r>
        <w:t xml:space="preserve">Информационная безопасность</w:t>
      </w:r>
    </w:p>
    <w:p>
      <w:pPr>
        <w:pStyle w:val="Author"/>
      </w:pPr>
      <w:r>
        <w:t xml:space="preserve">Кармацкий Никита 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Научиться тестированию веб-приложений с помощью сканера nikto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Использование nikto.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rPr>
          <w:i/>
          <w:iCs/>
        </w:rPr>
        <w:t xml:space="preserve">nikto</w:t>
      </w:r>
      <w:r>
        <w:t xml:space="preserve"> </w:t>
      </w:r>
      <w:r>
        <w:t xml:space="preserve">— базовый сканер безопасности веб-сервера. Он сканирует и обнаруживает уязвимости в веб-приложениях, обычно вызванные неправильной конфигурацией на самом сервере, файлами, установленными по умолчанию, и небезопасными файлами, а также устаревшими серверными приложениями. Поскольку nikto построен исключительно на LibWhisker2, он сразу после установки поддерживает кросс-платформенное развертывание, SSL (криптографический протокол, который подразумевает более безопасную связь), методы аутентификации хоста (NTLM/Basic), прокси и несколько методов уклонения от идентификаторов. Он также поддерживает перечисление поддоменов, проверку безопасности приложений (XSS, SQL-инъекции и т. д.) и способен с помощью атаки паролей на основе словаря угадывать учетные данные авторизации.</w:t>
      </w:r>
    </w:p>
    <w:p>
      <w:pPr>
        <w:pStyle w:val="BodyText"/>
      </w:pPr>
      <w:r>
        <w:t xml:space="preserve">Для запуска сканера nikto введите в командную строку терминала команду:</w:t>
      </w:r>
      <w:r>
        <w:t xml:space="preserve"> </w:t>
      </w:r>
      <w:r>
        <w:rPr>
          <w:rStyle w:val="VerbatimChar"/>
        </w:rPr>
        <w:t xml:space="preserve"># nikto</w:t>
      </w:r>
    </w:p>
    <w:p>
      <w:pPr>
        <w:pStyle w:val="BodyText"/>
      </w:pPr>
      <w:r>
        <w:t xml:space="preserve">По умолчанию, как ранее было показано в других приложениях, при обычном</w:t>
      </w:r>
      <w:r>
        <w:t xml:space="preserve"> </w:t>
      </w:r>
      <w:r>
        <w:t xml:space="preserve">запуске команды отображаются различные доступные параметры. Для сканирования цели введите</w:t>
      </w:r>
      <w:r>
        <w:t xml:space="preserve"> </w:t>
      </w:r>
      <w:r>
        <w:rPr>
          <w:rStyle w:val="VerbatimChar"/>
        </w:rPr>
        <w:t xml:space="preserve">nikto -h &lt;цель&gt; -p &lt;порт&gt;</w:t>
      </w:r>
      <w:r>
        <w:t xml:space="preserve">, где</w:t>
      </w:r>
      <w:r>
        <w:t xml:space="preserve"> </w:t>
      </w:r>
      <w:r>
        <w:t xml:space="preserve"> </w:t>
      </w:r>
      <w:r>
        <w:t xml:space="preserve">— домен или IP-адрес</w:t>
      </w:r>
      <w:r>
        <w:t xml:space="preserve"> </w:t>
      </w:r>
      <w:r>
        <w:t xml:space="preserve">целевого сайта, а</w:t>
      </w:r>
      <w:r>
        <w:t xml:space="preserve"> </w:t>
      </w:r>
      <w:r>
        <w:t xml:space="preserve"> </w:t>
      </w:r>
      <w:r>
        <w:t xml:space="preserve">— порт, на котором запущен сервис</w:t>
      </w:r>
    </w:p>
    <w:p>
      <w:pPr>
        <w:pStyle w:val="BodyText"/>
      </w:pPr>
      <w:r>
        <w:t xml:space="preserve">Сканер nikto позволяет идентифицировать уязвимости веб-приложений, такие</w:t>
      </w:r>
      <w:r>
        <w:t xml:space="preserve"> </w:t>
      </w:r>
      <w:r>
        <w:t xml:space="preserve">как раскрытие информации, инъекция (XSS/Script/HTML), удаленный поиск</w:t>
      </w:r>
      <w:r>
        <w:t xml:space="preserve"> </w:t>
      </w:r>
      <w:r>
        <w:t xml:space="preserve">файлов (на уровне сервера), выполнение команд и идентификация программного</w:t>
      </w:r>
      <w:r>
        <w:t xml:space="preserve"> </w:t>
      </w:r>
      <w:r>
        <w:t xml:space="preserve">обеспечения. В дополнение к показанному ранее основному сканированию nikto</w:t>
      </w:r>
      <w:r>
        <w:t xml:space="preserve"> </w:t>
      </w:r>
      <w:r>
        <w:t xml:space="preserve">позволяет испытателю на проникновение настроить сканирование конкретной</w:t>
      </w:r>
      <w:r>
        <w:t xml:space="preserve"> </w:t>
      </w:r>
      <w:r>
        <w:t xml:space="preserve">цели. Рассмотрим параметры, которые следует использовать при сканировании.</w:t>
      </w:r>
    </w:p>
    <w:p>
      <w:pPr>
        <w:pStyle w:val="Compact"/>
        <w:numPr>
          <w:ilvl w:val="0"/>
          <w:numId w:val="1002"/>
        </w:numPr>
      </w:pPr>
      <w:r>
        <w:t xml:space="preserve">Указав переключатель командной строки -T с отдельными номерами тестов, можно настроить тестирование конкретных типов.</w:t>
      </w:r>
    </w:p>
    <w:p>
      <w:pPr>
        <w:pStyle w:val="Compact"/>
        <w:numPr>
          <w:ilvl w:val="0"/>
          <w:numId w:val="1002"/>
        </w:numPr>
      </w:pPr>
      <w:r>
        <w:t xml:space="preserve">Используя при тестировании параметр -t, вы можете установить значение</w:t>
      </w:r>
      <w:r>
        <w:t xml:space="preserve"> </w:t>
      </w:r>
      <w:r>
        <w:t xml:space="preserve">тайм-аута для каждого ответа.</w:t>
      </w:r>
    </w:p>
    <w:p>
      <w:pPr>
        <w:pStyle w:val="Compact"/>
        <w:numPr>
          <w:ilvl w:val="0"/>
          <w:numId w:val="1002"/>
        </w:numPr>
      </w:pPr>
      <w:r>
        <w:t xml:space="preserve">Параметр -D V управляет выводом на экран.</w:t>
      </w:r>
    </w:p>
    <w:p>
      <w:pPr>
        <w:pStyle w:val="Compact"/>
        <w:numPr>
          <w:ilvl w:val="0"/>
          <w:numId w:val="1002"/>
        </w:numPr>
      </w:pPr>
      <w:r>
        <w:t xml:space="preserve">Параметры -o и -F отвечают за выбор формата отчета сканирования.</w:t>
      </w:r>
    </w:p>
    <w:p>
      <w:pPr>
        <w:pStyle w:val="FirstParagraph"/>
      </w:pPr>
      <w:r>
        <w:t xml:space="preserve">Существуют и другие параметры, такие как -mutate (угадывать поддомены,</w:t>
      </w:r>
      <w:r>
        <w:t xml:space="preserve"> </w:t>
      </w:r>
      <w:r>
        <w:t xml:space="preserve">файлы, каталоги и имена пользователей), -evasion (обходить фильтр идентификаторов) и -Single (для одиночного тестового режима), которые можно использовать для углубленной оценки цели</w:t>
      </w:r>
      <w:r>
        <w:t xml:space="preserve"> </w:t>
      </w:r>
      <w:r>
        <w:t xml:space="preserve">[</w:t>
      </w:r>
      <w:r>
        <w:rPr>
          <w:b/>
          <w:bCs/>
        </w:rPr>
        <w:t xml:space="preserve">parasram?</w:t>
      </w:r>
      <w:r>
        <w:t xml:space="preserve">]</w:t>
      </w:r>
      <w:r>
        <w:t xml:space="preserve">.</w:t>
      </w:r>
    </w:p>
    <w:bookmarkEnd w:id="22"/>
    <w:bookmarkStart w:id="45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43" w:name="выполнение-основных-действий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Выполнение основных действий</w:t>
      </w:r>
    </w:p>
    <w:p>
      <w:pPr>
        <w:pStyle w:val="FirstParagraph"/>
      </w:pPr>
      <w:r>
        <w:t xml:space="preserve">Для работы с nikto, необходимо подготовить веб приложение, которое будем сканировать. В нашем случае это DVWA. Проверим, что сервер apache запущен (рис. 1).</w:t>
      </w:r>
    </w:p>
    <w:bookmarkStart w:id="26" w:name="fig:001"/>
    <w:p>
      <w:pPr>
        <w:pStyle w:val="CaptionedFigure"/>
      </w:pPr>
      <w:r>
        <w:drawing>
          <wp:inline>
            <wp:extent cx="3733800" cy="2420055"/>
            <wp:effectExtent b="0" l="0" r="0" t="0"/>
            <wp:docPr descr="Рис. 1: Сервер apache2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200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Сервер apache2</w:t>
      </w:r>
    </w:p>
    <w:bookmarkEnd w:id="26"/>
    <w:p>
      <w:pPr>
        <w:pStyle w:val="BodyText"/>
      </w:pPr>
      <w:r>
        <w:t xml:space="preserve">Заходим на наше веб-приложение и в режиме выбора уровня безопасности, ставим минимальный(это необяхательноН так как nikto при обычном сканировании для режима impossible и low выдаст одинаковые потенциальные уязвимости, что логично, ведь они остаются, но изменяется сложность, с которой их можно использовать) (рис. 2).</w:t>
      </w:r>
    </w:p>
    <w:bookmarkStart w:id="30" w:name="fig:002"/>
    <w:p>
      <w:pPr>
        <w:pStyle w:val="CaptionedFigure"/>
      </w:pPr>
      <w:r>
        <w:drawing>
          <wp:inline>
            <wp:extent cx="3733800" cy="2730358"/>
            <wp:effectExtent b="0" l="0" r="0" t="0"/>
            <wp:docPr descr="Рис. 2: Изменение уровня безопасности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30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Изменение уровня безопасности</w:t>
      </w:r>
    </w:p>
    <w:bookmarkEnd w:id="30"/>
    <w:p>
      <w:pPr>
        <w:pStyle w:val="BodyText"/>
      </w:pPr>
      <w:r>
        <w:t xml:space="preserve">Запускаем nikto (рис. 3).</w:t>
      </w:r>
    </w:p>
    <w:bookmarkStart w:id="34" w:name="fig:003"/>
    <w:p>
      <w:pPr>
        <w:pStyle w:val="CaptionedFigure"/>
      </w:pPr>
      <w:r>
        <w:drawing>
          <wp:inline>
            <wp:extent cx="3733800" cy="781257"/>
            <wp:effectExtent b="0" l="0" r="0" t="0"/>
            <wp:docPr descr="Рис. 3: Запуск nikto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812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Запуск nikto</w:t>
      </w:r>
    </w:p>
    <w:bookmarkEnd w:id="34"/>
    <w:p>
      <w:pPr>
        <w:pStyle w:val="BodyText"/>
      </w:pPr>
      <w:r>
        <w:t xml:space="preserve">Проверить веб-приложение можно, введя его полный URL и не вводя порт (рис. 4).</w:t>
      </w:r>
    </w:p>
    <w:bookmarkStart w:id="38" w:name="fig:004"/>
    <w:p>
      <w:pPr>
        <w:pStyle w:val="CaptionedFigure"/>
      </w:pPr>
      <w:r>
        <w:drawing>
          <wp:inline>
            <wp:extent cx="3733800" cy="1935271"/>
            <wp:effectExtent b="0" l="0" r="0" t="0"/>
            <wp:docPr descr="Рис. 4: Сканирование через url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5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Сканирование через url</w:t>
      </w:r>
    </w:p>
    <w:bookmarkEnd w:id="38"/>
    <w:p>
      <w:pPr>
        <w:pStyle w:val="BodyText"/>
      </w:pPr>
      <w:r>
        <w:t xml:space="preserve">Затем попробовала просканировать введя адрес хоста и адрес порта, результаты незначительно отличаются (рис. 5).</w:t>
      </w:r>
    </w:p>
    <w:bookmarkStart w:id="42" w:name="fig:005"/>
    <w:p>
      <w:pPr>
        <w:pStyle w:val="CaptionedFigure"/>
      </w:pPr>
      <w:r>
        <w:drawing>
          <wp:inline>
            <wp:extent cx="3733800" cy="2159221"/>
            <wp:effectExtent b="0" l="0" r="0" t="0"/>
            <wp:docPr descr="Рис. 5: Сканирование через адрес хоста и порт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592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Сканирование через адрес хоста и порт</w:t>
      </w:r>
    </w:p>
    <w:bookmarkEnd w:id="42"/>
    <w:bookmarkEnd w:id="43"/>
    <w:bookmarkStart w:id="44" w:name="анализ-результатов-сканирования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Анализ результатов сканирования</w:t>
      </w:r>
    </w:p>
    <w:p>
      <w:pPr>
        <w:pStyle w:val="FirstParagraph"/>
      </w:pPr>
      <w:r>
        <w:t xml:space="preserve">Кроме адреса хоста и порта веб-приложения, никто выводит инофрмацию о различных уязвимостях приложения:</w:t>
      </w:r>
    </w:p>
    <w:p>
      <w:pPr>
        <w:pStyle w:val="BodyText"/>
      </w:pPr>
      <w:r>
        <w:t xml:space="preserve">Разбор вывода сканирования Nikto:</w:t>
      </w:r>
    </w:p>
    <w:p>
      <w:pPr>
        <w:pStyle w:val="BodyText"/>
      </w:pPr>
      <w:r>
        <w:t xml:space="preserve">nikto -h 127.0.0.1 -p 80: Эта команда инициирует сканирование Nikto против локального веб-сервера (IP-адрес 127.0.0.1) на порту 80, который является стандартным портом для HTTP.</w:t>
      </w:r>
    </w:p>
    <w:p>
      <w:pPr>
        <w:pStyle w:val="Compact"/>
        <w:numPr>
          <w:ilvl w:val="0"/>
          <w:numId w:val="1003"/>
        </w:numPr>
      </w:pPr>
      <w:r>
        <w:t xml:space="preserve">Nikto v2.5.0: Указывает версию инструмента Nikto, используемую для сканирования.</w:t>
      </w:r>
    </w:p>
    <w:p>
      <w:pPr>
        <w:pStyle w:val="Compact"/>
        <w:numPr>
          <w:ilvl w:val="0"/>
          <w:numId w:val="1003"/>
        </w:numPr>
      </w:pPr>
      <w:r>
        <w:t xml:space="preserve">Target IP: 127.0.0.1: Показывает IP-адрес целевого объекта, который сканируется.</w:t>
      </w:r>
    </w:p>
    <w:p>
      <w:pPr>
        <w:pStyle w:val="Compact"/>
        <w:numPr>
          <w:ilvl w:val="0"/>
          <w:numId w:val="1003"/>
        </w:numPr>
      </w:pPr>
      <w:r>
        <w:t xml:space="preserve">Target Hostname: 127.0.0.1: Отображает имя хоста целевого объекта, которое в данном случае также является адресом обратной связи.</w:t>
      </w:r>
    </w:p>
    <w:p>
      <w:pPr>
        <w:pStyle w:val="Compact"/>
        <w:numPr>
          <w:ilvl w:val="0"/>
          <w:numId w:val="1003"/>
        </w:numPr>
      </w:pPr>
      <w:r>
        <w:t xml:space="preserve">Target Port: 80: Указывает, что сканирование проводится на порту 80.</w:t>
      </w:r>
    </w:p>
    <w:p>
      <w:pPr>
        <w:pStyle w:val="Compact"/>
        <w:numPr>
          <w:ilvl w:val="0"/>
          <w:numId w:val="1003"/>
        </w:numPr>
      </w:pPr>
      <w:r>
        <w:t xml:space="preserve">Start Time: 2024-10-03 09:13:22 (GMT3): Записывает время начала сканирования в часовой зоне GMT+3.</w:t>
      </w:r>
    </w:p>
    <w:p>
      <w:pPr>
        <w:pStyle w:val="Compact"/>
        <w:numPr>
          <w:ilvl w:val="0"/>
          <w:numId w:val="1003"/>
        </w:numPr>
      </w:pPr>
      <w:r>
        <w:t xml:space="preserve">Server: Apache/2.4.59 (Debian): Определяет программное обеспечение веб-сервера и его версию, работающую на целевом объекте, в данном случае это Apache версии 2.4.59 на операционной системе Debian.</w:t>
      </w:r>
    </w:p>
    <w:p>
      <w:pPr>
        <w:pStyle w:val="FirstParagraph"/>
      </w:pPr>
      <w:r>
        <w:t xml:space="preserve">Находки уязвимостей:</w:t>
      </w:r>
    </w:p>
    <w:p>
      <w:pPr>
        <w:pStyle w:val="Compact"/>
        <w:numPr>
          <w:ilvl w:val="0"/>
          <w:numId w:val="1004"/>
        </w:numPr>
      </w:pPr>
      <w:r>
        <w:t xml:space="preserve">/: The anti-clickjacking X-Frame-Options header is not present.: Указывает на отсутствие заголовка X-Frame-Options, который помогает предотвратить атаки clickjacking.</w:t>
      </w:r>
    </w:p>
    <w:p>
      <w:pPr>
        <w:pStyle w:val="Compact"/>
        <w:numPr>
          <w:ilvl w:val="0"/>
          <w:numId w:val="1004"/>
        </w:numPr>
      </w:pPr>
      <w:r>
        <w:t xml:space="preserve">/: The X-Content-Type-Options header is not set.: Это предупреждение означает, что заголовок X-Content-Type-Options не настроен, что может позволить браузерам интерпретировать файлы неожиданным образом.</w:t>
      </w:r>
    </w:p>
    <w:p>
      <w:pPr>
        <w:pStyle w:val="Compact"/>
        <w:numPr>
          <w:ilvl w:val="0"/>
          <w:numId w:val="1004"/>
        </w:numPr>
      </w:pPr>
      <w:r>
        <w:t xml:space="preserve">No CGI Directories found (use</w:t>
      </w:r>
      <w:r>
        <w:t xml:space="preserve"> </w:t>
      </w:r>
      <w:r>
        <w:t xml:space="preserve">‘-C all’</w:t>
      </w:r>
      <w:r>
        <w:t xml:space="preserve"> </w:t>
      </w:r>
      <w:r>
        <w:t xml:space="preserve">to force check all possible dirs): Указывает на то, что во время сканирования не были обнаружены директории CGI; использование -C all может помочь найти их, если они существуют.</w:t>
      </w:r>
    </w:p>
    <w:p>
      <w:pPr>
        <w:pStyle w:val="Compact"/>
        <w:numPr>
          <w:ilvl w:val="0"/>
          <w:numId w:val="1004"/>
        </w:numPr>
      </w:pPr>
      <w:r>
        <w:t xml:space="preserve">/: Server may leak inodes via ETags…: Предупреждает о том, что используются ETags, которые могут привести к утечке информации о инодах файлов и их размерах, потенциально раскрывая структуру сервера или детали файловой системы.</w:t>
      </w:r>
    </w:p>
    <w:p>
      <w:pPr>
        <w:pStyle w:val="FirstParagraph"/>
      </w:pPr>
      <w:r>
        <w:t xml:space="preserve">Дополнительные находки:</w:t>
      </w:r>
    </w:p>
    <w:p>
      <w:pPr>
        <w:pStyle w:val="Compact"/>
        <w:numPr>
          <w:ilvl w:val="0"/>
          <w:numId w:val="1005"/>
        </w:numPr>
      </w:pPr>
      <w:r>
        <w:t xml:space="preserve">OPTIONS: Allowed HTTP Methods: GET, POST, OPTIONS, HEAD .: Перечисляет допустимые HTTP методы, которые разрешены сервером; это может указывать на потенциальные области для эксплуатации, если такие методы как PUT или DELETE включены.</w:t>
      </w:r>
    </w:p>
    <w:p>
      <w:pPr>
        <w:pStyle w:val="Compact"/>
        <w:numPr>
          <w:ilvl w:val="0"/>
          <w:numId w:val="1005"/>
        </w:numPr>
      </w:pPr>
      <w:r>
        <w:t xml:space="preserve">///etc/hosts:: Указывает на то, что доступ к /etc/hosts через URL с дополнительным слэшем позволяет читать конфиденциальные системные файлы, что представляет собой риск безопасности.</w:t>
      </w:r>
    </w:p>
    <w:p>
      <w:pPr>
        <w:pStyle w:val="Compact"/>
        <w:numPr>
          <w:ilvl w:val="0"/>
          <w:numId w:val="1005"/>
        </w:numPr>
      </w:pPr>
      <w:r>
        <w:t xml:space="preserve">/server-status:: Сообщает о том, что доступ к /server-status может раскрыть конфиденциальную информацию о сервере; доступ к нему следует ограничить только авторизованным пользователям.</w:t>
      </w:r>
    </w:p>
    <w:p>
      <w:pPr>
        <w:pStyle w:val="FirstParagraph"/>
      </w:pPr>
      <w:r>
        <w:t xml:space="preserve">Обнаружение PHP-бэкдоров:</w:t>
      </w:r>
    </w:p>
    <w:p>
      <w:pPr>
        <w:pStyle w:val="Compact"/>
        <w:numPr>
          <w:ilvl w:val="0"/>
          <w:numId w:val="1006"/>
        </w:numPr>
      </w:pPr>
      <w:r>
        <w:t xml:space="preserve">/wp-content/themes/twentyeleven/images/headers/server.php?filesrc=/etc/hosts: Этот шаблон повторяется для нескольких путей, указывая на то, что обнаружен PHP-бэкдор (файл менеджер), позволяющий потенциальный несанкционированный доступ к системным файлам.</w:t>
      </w:r>
    </w:p>
    <w:p>
      <w:pPr>
        <w:pStyle w:val="FirstParagraph"/>
      </w:pPr>
      <w:r>
        <w:t xml:space="preserve">Удаленное выполнение команд:</w:t>
      </w:r>
    </w:p>
    <w:p>
      <w:pPr>
        <w:pStyle w:val="Compact"/>
        <w:numPr>
          <w:ilvl w:val="0"/>
          <w:numId w:val="1007"/>
        </w:numPr>
      </w:pPr>
      <w:r>
        <w:t xml:space="preserve">/login.cgi?cli=aa%20aa%27cat%20/etc/hosts: и</w:t>
      </w:r>
    </w:p>
    <w:p>
      <w:pPr>
        <w:pStyle w:val="Compact"/>
        <w:numPr>
          <w:ilvl w:val="0"/>
          <w:numId w:val="1007"/>
        </w:numPr>
      </w:pPr>
      <w:r>
        <w:t xml:space="preserve">/shell?cat+/etc/hosts:</w:t>
      </w:r>
      <w:r>
        <w:t xml:space="preserve"> </w:t>
      </w:r>
      <w:r>
        <w:t xml:space="preserve">Эти строки указывают на то, что были обнаружены уязвимости удаленного выполнения команд, позволяющие злоумышленникам выполнять команды на сервере и читать конфиденциальные файлы, такие как /etc/hosts, что может привести к дальнейшей эксплуатации.</w:t>
      </w:r>
    </w:p>
    <w:bookmarkEnd w:id="44"/>
    <w:bookmarkEnd w:id="45"/>
    <w:bookmarkStart w:id="46" w:name="вывод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</w:t>
      </w:r>
    </w:p>
    <w:p>
      <w:pPr>
        <w:pStyle w:val="FirstParagraph"/>
      </w:pPr>
      <w:r>
        <w:t xml:space="preserve">Научились тестированию веб-приложений с помощью сканера nikto</w:t>
      </w:r>
    </w:p>
    <w:bookmarkEnd w:id="46"/>
    <w:bookmarkStart w:id="47" w:name="список-литератур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Список литературы</w:t>
      </w:r>
    </w:p>
    <w:bookmarkEnd w:id="4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четвертому этапу индивидуального проекта</dc:title>
  <dc:creator>Кармацкий Никита Сергеевич</dc:creator>
  <dc:language>ru-RU</dc:language>
  <cp:keywords/>
  <dcterms:created xsi:type="dcterms:W3CDTF">2024-10-03T07:05:38Z</dcterms:created>
  <dcterms:modified xsi:type="dcterms:W3CDTF">2024-10-03T07:05:38Z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9pt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ItemTemplate">
    <vt:lpwstr>lotItemTitleilistItemTitleDelimt </vt:lpwstr>
  </property>
  <property fmtid="{D5CDD505-2E9C-101B-9397-08002B2CF9AE}" pid="52" name="lotItemTitle">
    <vt:lpwstr/>
  </property>
  <property fmtid="{D5CDD505-2E9C-101B-9397-08002B2CF9AE}" pid="53" name="lotTitle">
    <vt:lpwstr>List of Tables</vt:lpwstr>
  </property>
  <property fmtid="{D5CDD505-2E9C-101B-9397-08002B2CF9AE}" pid="54" name="lstLabels">
    <vt:lpwstr>arabic</vt:lpwstr>
  </property>
  <property fmtid="{D5CDD505-2E9C-101B-9397-08002B2CF9AE}" pid="55" name="lstPrefix">
    <vt:lpwstr/>
  </property>
  <property fmtid="{D5CDD505-2E9C-101B-9397-08002B2CF9AE}" pid="56" name="lstPrefixTemplate">
    <vt:lpwstr>p i</vt:lpwstr>
  </property>
  <property fmtid="{D5CDD505-2E9C-101B-9397-08002B2CF9AE}" pid="57" name="mainfont">
    <vt:lpwstr>PT Serif</vt:lpwstr>
  </property>
  <property fmtid="{D5CDD505-2E9C-101B-9397-08002B2CF9AE}" pid="58" name="mainfontoptions">
    <vt:lpwstr>Ligatures=TeX</vt:lpwstr>
  </property>
  <property fmtid="{D5CDD505-2E9C-101B-9397-08002B2CF9AE}" pid="59" name="monofont">
    <vt:lpwstr>PT Mono</vt:lpwstr>
  </property>
  <property fmtid="{D5CDD505-2E9C-101B-9397-08002B2CF9AE}" pid="60" name="monofontoptions">
    <vt:lpwstr>Scale=MatchLowercase,Scale=0.6</vt:lpwstr>
  </property>
  <property fmtid="{D5CDD505-2E9C-101B-9397-08002B2CF9AE}" pid="61" name="nameInLink">
    <vt:lpwstr>False</vt:lpwstr>
  </property>
  <property fmtid="{D5CDD505-2E9C-101B-9397-08002B2CF9AE}" pid="62" name="numberSections">
    <vt:lpwstr>False</vt:lpwstr>
  </property>
  <property fmtid="{D5CDD505-2E9C-101B-9397-08002B2CF9AE}" pid="63" name="pairDelim">
    <vt:lpwstr>, </vt:lpwstr>
  </property>
  <property fmtid="{D5CDD505-2E9C-101B-9397-08002B2CF9AE}" pid="64" name="papersize">
    <vt:lpwstr>a4</vt:lpwstr>
  </property>
  <property fmtid="{D5CDD505-2E9C-101B-9397-08002B2CF9AE}" pid="65" name="polyglossia-lang">
    <vt:lpwstr/>
  </property>
  <property fmtid="{D5CDD505-2E9C-101B-9397-08002B2CF9AE}" pid="66" name="polyglossia-otherlangs">
    <vt:lpwstr/>
  </property>
  <property fmtid="{D5CDD505-2E9C-101B-9397-08002B2CF9AE}" pid="67" name="rangeDelim">
    <vt:lpwstr>-</vt:lpwstr>
  </property>
  <property fmtid="{D5CDD505-2E9C-101B-9397-08002B2CF9AE}" pid="68" name="refDelim">
    <vt:lpwstr>, </vt:lpwstr>
  </property>
  <property fmtid="{D5CDD505-2E9C-101B-9397-08002B2CF9AE}" pid="69" name="refIndexTemplate">
    <vt:lpwstr>isuf</vt:lpwstr>
  </property>
  <property fmtid="{D5CDD505-2E9C-101B-9397-08002B2CF9AE}" pid="70" name="romanfont">
    <vt:lpwstr>PT Serif</vt:lpwstr>
  </property>
  <property fmtid="{D5CDD505-2E9C-101B-9397-08002B2CF9AE}" pid="71" name="romanfontoptions">
    <vt:lpwstr>Ligatures=TeX</vt:lpwstr>
  </property>
  <property fmtid="{D5CDD505-2E9C-101B-9397-08002B2CF9AE}" pid="72" name="sansfont">
    <vt:lpwstr>PT Sans</vt:lpwstr>
  </property>
  <property fmtid="{D5CDD505-2E9C-101B-9397-08002B2CF9AE}" pid="73" name="sansfontoptions">
    <vt:lpwstr>Ligatures=TeX,Scale=MatchLowercase</vt:lpwstr>
  </property>
  <property fmtid="{D5CDD505-2E9C-101B-9397-08002B2CF9AE}" pid="74" name="secHeaderDelim">
    <vt:lpwstr> </vt:lpwstr>
  </property>
  <property fmtid="{D5CDD505-2E9C-101B-9397-08002B2CF9AE}" pid="75" name="secHeaderTemplate">
    <vt:lpwstr>isecHeaderDelim[n]t</vt:lpwstr>
  </property>
  <property fmtid="{D5CDD505-2E9C-101B-9397-08002B2CF9AE}" pid="76" name="secLabels">
    <vt:lpwstr>arabic</vt:lpwstr>
  </property>
  <property fmtid="{D5CDD505-2E9C-101B-9397-08002B2CF9AE}" pid="77" name="secPrefix">
    <vt:lpwstr/>
  </property>
  <property fmtid="{D5CDD505-2E9C-101B-9397-08002B2CF9AE}" pid="78" name="secPrefixTemplate">
    <vt:lpwstr>p i</vt:lpwstr>
  </property>
  <property fmtid="{D5CDD505-2E9C-101B-9397-08002B2CF9AE}" pid="79" name="sectionsDepth">
    <vt:lpwstr>0</vt:lpwstr>
  </property>
  <property fmtid="{D5CDD505-2E9C-101B-9397-08002B2CF9AE}" pid="80" name="subfigGrid">
    <vt:lpwstr>False</vt:lpwstr>
  </property>
  <property fmtid="{D5CDD505-2E9C-101B-9397-08002B2CF9AE}" pid="81" name="subfigLabels">
    <vt:lpwstr>alpha a</vt:lpwstr>
  </property>
  <property fmtid="{D5CDD505-2E9C-101B-9397-08002B2CF9AE}" pid="82" name="subfigureChildTemplate">
    <vt:lpwstr>i</vt:lpwstr>
  </property>
  <property fmtid="{D5CDD505-2E9C-101B-9397-08002B2CF9AE}" pid="83" name="subfigureRefIndexTemplate">
    <vt:lpwstr>isuf (s)</vt:lpwstr>
  </property>
  <property fmtid="{D5CDD505-2E9C-101B-9397-08002B2CF9AE}" pid="84" name="subfigureTemplate">
    <vt:lpwstr>figureTitle ititleDelim t. ccs</vt:lpwstr>
  </property>
  <property fmtid="{D5CDD505-2E9C-101B-9397-08002B2CF9AE}" pid="85" name="subtitle">
    <vt:lpwstr>Информационная безопасность</vt:lpwstr>
  </property>
  <property fmtid="{D5CDD505-2E9C-101B-9397-08002B2CF9AE}" pid="86" name="tableEqns">
    <vt:lpwstr>False</vt:lpwstr>
  </property>
  <property fmtid="{D5CDD505-2E9C-101B-9397-08002B2CF9AE}" pid="87" name="tableTemplate">
    <vt:lpwstr>tableTitle ititleDelim t</vt:lpwstr>
  </property>
  <property fmtid="{D5CDD505-2E9C-101B-9397-08002B2CF9AE}" pid="88" name="tableTitle">
    <vt:lpwstr>Таблица</vt:lpwstr>
  </property>
  <property fmtid="{D5CDD505-2E9C-101B-9397-08002B2CF9AE}" pid="89" name="tblLabels">
    <vt:lpwstr>arabic</vt:lpwstr>
  </property>
  <property fmtid="{D5CDD505-2E9C-101B-9397-08002B2CF9AE}" pid="90" name="tblPrefix">
    <vt:lpwstr/>
  </property>
  <property fmtid="{D5CDD505-2E9C-101B-9397-08002B2CF9AE}" pid="91" name="tblPrefixTemplate">
    <vt:lpwstr>p i</vt:lpwstr>
  </property>
  <property fmtid="{D5CDD505-2E9C-101B-9397-08002B2CF9AE}" pid="92" name="titleDelim">
    <vt:lpwstr>:</vt:lpwstr>
  </property>
  <property fmtid="{D5CDD505-2E9C-101B-9397-08002B2CF9AE}" pid="93" name="toc">
    <vt:lpwstr>True</vt:lpwstr>
  </property>
  <property fmtid="{D5CDD505-2E9C-101B-9397-08002B2CF9AE}" pid="94" name="toc-depth">
    <vt:lpwstr>2</vt:lpwstr>
  </property>
  <property fmtid="{D5CDD505-2E9C-101B-9397-08002B2CF9AE}" pid="95" name="toc-title">
    <vt:lpwstr>Содержание</vt:lpwstr>
  </property>
</Properties>
</file>